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FE" w:rsidRPr="00992424" w:rsidRDefault="00905970" w:rsidP="00905970">
      <w:pPr>
        <w:spacing w:after="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424">
        <w:rPr>
          <w:rFonts w:ascii="Arial" w:hAnsi="Arial" w:cs="Arial"/>
          <w:b/>
          <w:sz w:val="24"/>
          <w:szCs w:val="24"/>
        </w:rPr>
        <w:t>Comissão de Modalidades</w:t>
      </w:r>
    </w:p>
    <w:p w:rsidR="00132A67" w:rsidRPr="00992424" w:rsidRDefault="00132A67" w:rsidP="002D50AE">
      <w:pPr>
        <w:spacing w:after="0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132A67" w:rsidRPr="00992424" w:rsidRDefault="00132A67" w:rsidP="002D50AE">
      <w:pPr>
        <w:spacing w:after="0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905970" w:rsidRPr="00992424" w:rsidRDefault="00905970" w:rsidP="000C614F">
      <w:pPr>
        <w:jc w:val="both"/>
        <w:rPr>
          <w:rFonts w:ascii="Arial" w:hAnsi="Arial" w:cs="Arial"/>
          <w:b/>
          <w:sz w:val="24"/>
          <w:szCs w:val="24"/>
        </w:rPr>
      </w:pPr>
    </w:p>
    <w:p w:rsidR="00905970" w:rsidRPr="00992424" w:rsidRDefault="000C614F" w:rsidP="0090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Parecer CME n° 00</w:t>
      </w:r>
      <w:r w:rsidR="002259FD" w:rsidRPr="00992424">
        <w:rPr>
          <w:rFonts w:ascii="Arial" w:hAnsi="Arial" w:cs="Arial"/>
          <w:b/>
          <w:sz w:val="24"/>
          <w:szCs w:val="24"/>
        </w:rPr>
        <w:t>2</w:t>
      </w:r>
      <w:r w:rsidRPr="00992424">
        <w:rPr>
          <w:rFonts w:ascii="Arial" w:hAnsi="Arial" w:cs="Arial"/>
          <w:b/>
          <w:sz w:val="24"/>
          <w:szCs w:val="24"/>
        </w:rPr>
        <w:t xml:space="preserve">/07 </w:t>
      </w:r>
    </w:p>
    <w:p w:rsidR="00905970" w:rsidRPr="00992424" w:rsidRDefault="002259FD" w:rsidP="00905970">
      <w:pPr>
        <w:spacing w:after="0" w:line="240" w:lineRule="auto"/>
        <w:ind w:right="1700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Escola Municipal de Ensino Fundamental Pio XII</w:t>
      </w:r>
    </w:p>
    <w:p w:rsidR="00905970" w:rsidRPr="00992424" w:rsidRDefault="00905970" w:rsidP="00905970">
      <w:pPr>
        <w:spacing w:after="0" w:line="240" w:lineRule="auto"/>
        <w:ind w:right="1700"/>
        <w:jc w:val="both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905970">
      <w:pPr>
        <w:spacing w:after="0" w:line="240" w:lineRule="auto"/>
        <w:ind w:right="1700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Aprovação regimental</w:t>
      </w:r>
    </w:p>
    <w:p w:rsidR="000C614F" w:rsidRPr="00992424" w:rsidRDefault="000C614F" w:rsidP="000C614F">
      <w:pPr>
        <w:ind w:right="1700"/>
        <w:jc w:val="both"/>
        <w:rPr>
          <w:rFonts w:ascii="Arial" w:hAnsi="Arial" w:cs="Arial"/>
          <w:sz w:val="24"/>
          <w:szCs w:val="24"/>
        </w:rPr>
      </w:pPr>
    </w:p>
    <w:p w:rsidR="000C614F" w:rsidRPr="00992424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i/>
          <w:sz w:val="24"/>
          <w:szCs w:val="24"/>
        </w:rPr>
        <w:t>Relator:</w:t>
      </w:r>
      <w:r w:rsidRPr="00992424">
        <w:rPr>
          <w:rFonts w:ascii="Arial" w:hAnsi="Arial" w:cs="Arial"/>
          <w:b/>
          <w:sz w:val="24"/>
          <w:szCs w:val="24"/>
        </w:rPr>
        <w:t xml:space="preserve"> Fernando Araújo Nunes </w:t>
      </w:r>
    </w:p>
    <w:p w:rsidR="000C614F" w:rsidRPr="00992424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 xml:space="preserve">Conselheiros: Sandra </w:t>
      </w:r>
      <w:proofErr w:type="spellStart"/>
      <w:r w:rsidRPr="00992424">
        <w:rPr>
          <w:rFonts w:ascii="Arial" w:hAnsi="Arial" w:cs="Arial"/>
          <w:b/>
          <w:sz w:val="24"/>
          <w:szCs w:val="24"/>
        </w:rPr>
        <w:t>Argenton</w:t>
      </w:r>
      <w:proofErr w:type="spellEnd"/>
      <w:r w:rsidR="005651EF" w:rsidRPr="00992424">
        <w:rPr>
          <w:rFonts w:ascii="Arial" w:hAnsi="Arial" w:cs="Arial"/>
          <w:b/>
          <w:sz w:val="24"/>
          <w:szCs w:val="24"/>
        </w:rPr>
        <w:t xml:space="preserve"> Martins</w:t>
      </w:r>
      <w:r w:rsidRPr="00992424">
        <w:rPr>
          <w:rFonts w:ascii="Arial" w:hAnsi="Arial" w:cs="Arial"/>
          <w:b/>
          <w:sz w:val="24"/>
          <w:szCs w:val="24"/>
        </w:rPr>
        <w:t xml:space="preserve"> e Denise</w:t>
      </w:r>
      <w:r w:rsidR="005651EF" w:rsidRPr="00992424">
        <w:rPr>
          <w:rFonts w:ascii="Arial" w:hAnsi="Arial" w:cs="Arial"/>
          <w:b/>
          <w:sz w:val="24"/>
          <w:szCs w:val="24"/>
        </w:rPr>
        <w:t xml:space="preserve"> Melo</w:t>
      </w:r>
      <w:r w:rsidRPr="00992424">
        <w:rPr>
          <w:rFonts w:ascii="Arial" w:hAnsi="Arial" w:cs="Arial"/>
          <w:b/>
          <w:sz w:val="24"/>
          <w:szCs w:val="24"/>
        </w:rPr>
        <w:t xml:space="preserve"> </w:t>
      </w:r>
      <w:r w:rsidR="005651EF" w:rsidRPr="00992424">
        <w:rPr>
          <w:rFonts w:ascii="Arial" w:hAnsi="Arial" w:cs="Arial"/>
          <w:b/>
          <w:sz w:val="24"/>
          <w:szCs w:val="24"/>
        </w:rPr>
        <w:t>Sotelo</w:t>
      </w:r>
    </w:p>
    <w:p w:rsidR="000C614F" w:rsidRPr="00992424" w:rsidRDefault="000C614F" w:rsidP="000C614F">
      <w:pPr>
        <w:ind w:right="1700"/>
        <w:jc w:val="both"/>
        <w:rPr>
          <w:rFonts w:ascii="Arial" w:hAnsi="Arial" w:cs="Arial"/>
          <w:i/>
          <w:sz w:val="24"/>
          <w:szCs w:val="24"/>
        </w:rPr>
      </w:pPr>
    </w:p>
    <w:p w:rsidR="000C614F" w:rsidRPr="00992424" w:rsidRDefault="000C614F" w:rsidP="000C614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I- RELATÓRIO</w:t>
      </w:r>
    </w:p>
    <w:p w:rsidR="00797A8E" w:rsidRPr="00992424" w:rsidRDefault="00797A8E" w:rsidP="000C614F">
      <w:pPr>
        <w:spacing w:after="60"/>
        <w:ind w:firstLine="720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797A8E">
      <w:pPr>
        <w:numPr>
          <w:ilvl w:val="0"/>
          <w:numId w:val="4"/>
        </w:numPr>
        <w:spacing w:after="60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Histórico</w:t>
      </w:r>
    </w:p>
    <w:p w:rsidR="00797A8E" w:rsidRPr="00992424" w:rsidRDefault="00797A8E" w:rsidP="00797A8E">
      <w:pPr>
        <w:spacing w:after="60"/>
        <w:ind w:left="1080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0C614F">
      <w:pPr>
        <w:spacing w:after="60"/>
        <w:ind w:right="-1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Em 30 de outubro de 2017, a equipe Diretiva da </w:t>
      </w:r>
      <w:r w:rsidR="002259FD" w:rsidRPr="00992424">
        <w:rPr>
          <w:rFonts w:ascii="Arial" w:hAnsi="Arial" w:cs="Arial"/>
          <w:sz w:val="24"/>
          <w:szCs w:val="24"/>
        </w:rPr>
        <w:t xml:space="preserve">Escola Municipal de Ensino Fundamental Pio XII </w:t>
      </w:r>
      <w:r w:rsidRPr="00992424">
        <w:rPr>
          <w:rFonts w:ascii="Arial" w:hAnsi="Arial" w:cs="Arial"/>
          <w:sz w:val="24"/>
          <w:szCs w:val="24"/>
        </w:rPr>
        <w:t xml:space="preserve">entrega ao Conselho Municipal de Educação de Charqueadas </w:t>
      </w:r>
      <w:r w:rsidR="002259FD" w:rsidRPr="00992424">
        <w:rPr>
          <w:rFonts w:ascii="Arial" w:hAnsi="Arial" w:cs="Arial"/>
          <w:sz w:val="24"/>
          <w:szCs w:val="24"/>
        </w:rPr>
        <w:t xml:space="preserve">apenas uma </w:t>
      </w:r>
      <w:r w:rsidRPr="00992424">
        <w:rPr>
          <w:rFonts w:ascii="Arial" w:hAnsi="Arial" w:cs="Arial"/>
          <w:sz w:val="24"/>
          <w:szCs w:val="24"/>
        </w:rPr>
        <w:t>cópia para aprovação das alterações regimentais propostas pelo Conselho de Escolar</w:t>
      </w:r>
      <w:r w:rsidR="005A16F4" w:rsidRPr="00992424">
        <w:rPr>
          <w:rFonts w:ascii="Arial" w:hAnsi="Arial" w:cs="Arial"/>
          <w:sz w:val="24"/>
          <w:szCs w:val="24"/>
        </w:rPr>
        <w:t>, conforme determina a Resolução CME 005/2017</w:t>
      </w:r>
      <w:r w:rsidRPr="00992424">
        <w:rPr>
          <w:rFonts w:ascii="Arial" w:hAnsi="Arial" w:cs="Arial"/>
          <w:sz w:val="24"/>
          <w:szCs w:val="24"/>
        </w:rPr>
        <w:t>.</w:t>
      </w:r>
    </w:p>
    <w:p w:rsidR="000C614F" w:rsidRPr="00992424" w:rsidRDefault="000C614F" w:rsidP="000C614F">
      <w:pPr>
        <w:tabs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Em 14 de novembro de 2017 a Comissão de </w:t>
      </w:r>
      <w:r w:rsidR="005A16F4" w:rsidRPr="00992424">
        <w:rPr>
          <w:rFonts w:ascii="Arial" w:hAnsi="Arial" w:cs="Arial"/>
          <w:sz w:val="24"/>
          <w:szCs w:val="24"/>
        </w:rPr>
        <w:t>Modalidades recebe a proposta de alteração regimental e reúne-se nas dependências da Secretaria Municipal de Educação de Charqueadas</w:t>
      </w:r>
      <w:r w:rsidRPr="00992424">
        <w:rPr>
          <w:rFonts w:ascii="Arial" w:hAnsi="Arial" w:cs="Arial"/>
          <w:sz w:val="24"/>
          <w:szCs w:val="24"/>
        </w:rPr>
        <w:t>.</w:t>
      </w:r>
    </w:p>
    <w:p w:rsidR="005A16F4" w:rsidRPr="00992424" w:rsidRDefault="005A16F4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797A8E">
      <w:pPr>
        <w:numPr>
          <w:ilvl w:val="0"/>
          <w:numId w:val="4"/>
        </w:numPr>
        <w:tabs>
          <w:tab w:val="left" w:pos="8931"/>
        </w:tabs>
        <w:spacing w:before="60" w:after="60"/>
        <w:ind w:right="-1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Apreciação</w:t>
      </w:r>
    </w:p>
    <w:p w:rsidR="008E73A5" w:rsidRPr="00992424" w:rsidRDefault="008E73A5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C614F" w:rsidRPr="00992424" w:rsidRDefault="000C614F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O Regimento Escolar da </w:t>
      </w:r>
      <w:r w:rsidR="002259FD" w:rsidRPr="00992424">
        <w:rPr>
          <w:rFonts w:ascii="Arial" w:hAnsi="Arial" w:cs="Arial"/>
          <w:sz w:val="24"/>
          <w:szCs w:val="24"/>
        </w:rPr>
        <w:t xml:space="preserve">Escola Municipal de Ensino Fundamental Pio XII </w:t>
      </w:r>
      <w:r w:rsidRPr="00992424">
        <w:rPr>
          <w:rFonts w:ascii="Arial" w:hAnsi="Arial" w:cs="Arial"/>
          <w:sz w:val="24"/>
          <w:szCs w:val="24"/>
        </w:rPr>
        <w:t>sofreu alterações ao longo dos últimos anos. Em um primeiro momento, adequou-se ao novo ordenamento legal previsto na Lei Federal nº 9.394/96 (LDB/96) e às normas que regulamentam seus dispositivos</w:t>
      </w:r>
      <w:r w:rsidR="005A16F4" w:rsidRPr="00992424">
        <w:rPr>
          <w:rFonts w:ascii="Arial" w:hAnsi="Arial" w:cs="Arial"/>
          <w:sz w:val="24"/>
          <w:szCs w:val="24"/>
        </w:rPr>
        <w:t>.</w:t>
      </w:r>
    </w:p>
    <w:p w:rsidR="008E73A5" w:rsidRPr="00992424" w:rsidRDefault="005A16F4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 Comissão de Modalidades do</w:t>
      </w:r>
      <w:r w:rsidR="000C614F" w:rsidRPr="00992424">
        <w:rPr>
          <w:rFonts w:ascii="Arial" w:hAnsi="Arial" w:cs="Arial"/>
          <w:sz w:val="24"/>
          <w:szCs w:val="24"/>
        </w:rPr>
        <w:t xml:space="preserve"> Conselho Municipal de Educação, ao examinar o Regimento Escolar da </w:t>
      </w:r>
      <w:r w:rsidRPr="00992424">
        <w:rPr>
          <w:rFonts w:ascii="Arial" w:hAnsi="Arial" w:cs="Arial"/>
          <w:sz w:val="24"/>
          <w:szCs w:val="24"/>
        </w:rPr>
        <w:t xml:space="preserve">Escola Municipal de Ensino Fundamental </w:t>
      </w:r>
      <w:r w:rsidR="002259FD" w:rsidRPr="00992424">
        <w:rPr>
          <w:rFonts w:ascii="Arial" w:hAnsi="Arial" w:cs="Arial"/>
          <w:sz w:val="24"/>
          <w:szCs w:val="24"/>
        </w:rPr>
        <w:t>Pio XII</w:t>
      </w:r>
      <w:r w:rsidR="000C614F" w:rsidRPr="00992424">
        <w:rPr>
          <w:rFonts w:ascii="Arial" w:hAnsi="Arial" w:cs="Arial"/>
          <w:sz w:val="24"/>
          <w:szCs w:val="24"/>
        </w:rPr>
        <w:t xml:space="preserve">, </w:t>
      </w:r>
      <w:r w:rsidR="002259FD" w:rsidRPr="00992424">
        <w:rPr>
          <w:rFonts w:ascii="Arial" w:hAnsi="Arial" w:cs="Arial"/>
          <w:sz w:val="24"/>
          <w:szCs w:val="24"/>
        </w:rPr>
        <w:t xml:space="preserve">faz </w:t>
      </w:r>
      <w:r w:rsidRPr="00992424">
        <w:rPr>
          <w:rFonts w:ascii="Arial" w:hAnsi="Arial" w:cs="Arial"/>
          <w:sz w:val="24"/>
          <w:szCs w:val="24"/>
        </w:rPr>
        <w:t>as seguintes</w:t>
      </w:r>
      <w:r w:rsidR="000C614F" w:rsidRPr="00992424">
        <w:rPr>
          <w:rFonts w:ascii="Arial" w:hAnsi="Arial" w:cs="Arial"/>
          <w:sz w:val="24"/>
          <w:szCs w:val="24"/>
        </w:rPr>
        <w:t xml:space="preserve"> ressalva</w:t>
      </w:r>
      <w:r w:rsidRPr="00992424">
        <w:rPr>
          <w:rFonts w:ascii="Arial" w:hAnsi="Arial" w:cs="Arial"/>
          <w:sz w:val="24"/>
          <w:szCs w:val="24"/>
        </w:rPr>
        <w:t>s</w:t>
      </w:r>
      <w:r w:rsidR="000C614F" w:rsidRPr="00992424">
        <w:rPr>
          <w:rFonts w:ascii="Arial" w:hAnsi="Arial" w:cs="Arial"/>
          <w:sz w:val="24"/>
          <w:szCs w:val="24"/>
        </w:rPr>
        <w:t xml:space="preserve">: </w:t>
      </w:r>
    </w:p>
    <w:p w:rsidR="008E73A5" w:rsidRPr="00992424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97A8E" w:rsidRPr="00992424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</w:rPr>
        <w:t xml:space="preserve">1ª - </w:t>
      </w:r>
      <w:r w:rsidR="008E73A5" w:rsidRPr="00992424">
        <w:rPr>
          <w:rFonts w:ascii="Arial" w:hAnsi="Arial" w:cs="Arial"/>
          <w:sz w:val="24"/>
          <w:szCs w:val="24"/>
        </w:rPr>
        <w:t xml:space="preserve">No item </w:t>
      </w:r>
      <w:r w:rsidR="002259FD" w:rsidRPr="00992424">
        <w:rPr>
          <w:rFonts w:ascii="Arial" w:hAnsi="Arial" w:cs="Arial"/>
          <w:sz w:val="24"/>
          <w:szCs w:val="24"/>
        </w:rPr>
        <w:t xml:space="preserve">4.5.1 </w:t>
      </w:r>
      <w:r w:rsidR="00797A8E" w:rsidRPr="00992424">
        <w:rPr>
          <w:rFonts w:ascii="Arial" w:hAnsi="Arial" w:cs="Arial"/>
          <w:sz w:val="24"/>
          <w:szCs w:val="24"/>
        </w:rPr>
        <w:t xml:space="preserve">na página 18, </w:t>
      </w:r>
      <w:r w:rsidR="002259FD" w:rsidRPr="00992424">
        <w:rPr>
          <w:rFonts w:ascii="Arial" w:hAnsi="Arial" w:cs="Arial"/>
          <w:sz w:val="24"/>
          <w:szCs w:val="24"/>
        </w:rPr>
        <w:t xml:space="preserve">que trata dos </w:t>
      </w:r>
      <w:r w:rsidR="00797A8E" w:rsidRPr="00992424">
        <w:rPr>
          <w:rFonts w:ascii="Arial" w:hAnsi="Arial" w:cs="Arial"/>
          <w:sz w:val="24"/>
          <w:szCs w:val="24"/>
        </w:rPr>
        <w:t>Níveis</w:t>
      </w:r>
      <w:r w:rsidR="002259FD" w:rsidRPr="00992424">
        <w:rPr>
          <w:rFonts w:ascii="Arial" w:hAnsi="Arial" w:cs="Arial"/>
          <w:sz w:val="24"/>
          <w:szCs w:val="24"/>
        </w:rPr>
        <w:t xml:space="preserve"> de Ensino</w:t>
      </w:r>
      <w:r w:rsidR="008E73A5" w:rsidRPr="00992424">
        <w:rPr>
          <w:rFonts w:ascii="Arial" w:hAnsi="Arial" w:cs="Arial"/>
          <w:sz w:val="24"/>
          <w:szCs w:val="24"/>
        </w:rPr>
        <w:t xml:space="preserve"> a Escola traz a proposta de </w:t>
      </w:r>
      <w:r w:rsidR="00797A8E" w:rsidRPr="00992424">
        <w:rPr>
          <w:rFonts w:ascii="Arial" w:hAnsi="Arial" w:cs="Arial"/>
          <w:sz w:val="24"/>
          <w:szCs w:val="24"/>
        </w:rPr>
        <w:t>níveis</w:t>
      </w:r>
      <w:r w:rsidR="002259FD" w:rsidRPr="00992424">
        <w:rPr>
          <w:rFonts w:ascii="Arial" w:hAnsi="Arial" w:cs="Arial"/>
          <w:sz w:val="24"/>
          <w:szCs w:val="24"/>
        </w:rPr>
        <w:t xml:space="preserve"> e modalidades</w:t>
      </w:r>
      <w:r w:rsidR="00797A8E" w:rsidRPr="00992424">
        <w:rPr>
          <w:rFonts w:ascii="Arial" w:hAnsi="Arial" w:cs="Arial"/>
          <w:sz w:val="24"/>
          <w:szCs w:val="24"/>
        </w:rPr>
        <w:t xml:space="preserve"> de ensino, a</w:t>
      </w:r>
      <w:r w:rsidR="00797A8E" w:rsidRPr="00992424">
        <w:rPr>
          <w:rFonts w:ascii="Arial" w:hAnsi="Arial" w:cs="Arial"/>
          <w:sz w:val="24"/>
          <w:szCs w:val="24"/>
          <w:shd w:val="clear" w:color="auto" w:fill="FFFFFF"/>
        </w:rPr>
        <w:t>ssim descrito:</w:t>
      </w:r>
    </w:p>
    <w:p w:rsidR="00797A8E" w:rsidRPr="00992424" w:rsidRDefault="00797A8E" w:rsidP="00797A8E">
      <w:pPr>
        <w:numPr>
          <w:ilvl w:val="0"/>
          <w:numId w:val="3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>Educação Infantil;</w:t>
      </w:r>
    </w:p>
    <w:p w:rsidR="00797A8E" w:rsidRPr="00992424" w:rsidRDefault="00797A8E" w:rsidP="00797A8E">
      <w:pPr>
        <w:numPr>
          <w:ilvl w:val="0"/>
          <w:numId w:val="3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>Ensino Fundamental;</w:t>
      </w:r>
    </w:p>
    <w:p w:rsidR="00797A8E" w:rsidRPr="00992424" w:rsidRDefault="00797A8E" w:rsidP="00797A8E">
      <w:pPr>
        <w:numPr>
          <w:ilvl w:val="0"/>
          <w:numId w:val="3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lastRenderedPageBreak/>
        <w:t>Turmas de Aceleração;</w:t>
      </w:r>
    </w:p>
    <w:p w:rsidR="00797A8E" w:rsidRPr="00992424" w:rsidRDefault="00797A8E" w:rsidP="00797A8E">
      <w:pPr>
        <w:numPr>
          <w:ilvl w:val="0"/>
          <w:numId w:val="3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>Educação de Jovens e Adultos, apenas na etapa de alfabetização e</w:t>
      </w:r>
    </w:p>
    <w:p w:rsidR="00797A8E" w:rsidRPr="00992424" w:rsidRDefault="00797A8E" w:rsidP="00797A8E">
      <w:pPr>
        <w:numPr>
          <w:ilvl w:val="0"/>
          <w:numId w:val="3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>Educação Especial.</w:t>
      </w:r>
    </w:p>
    <w:p w:rsidR="00797A8E" w:rsidRPr="00992424" w:rsidRDefault="00797A8E" w:rsidP="00797A8E">
      <w:pPr>
        <w:tabs>
          <w:tab w:val="left" w:pos="8931"/>
        </w:tabs>
        <w:spacing w:after="60"/>
        <w:ind w:left="720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7A8E" w:rsidRPr="00992424" w:rsidRDefault="00797A8E" w:rsidP="00797A8E">
      <w:pPr>
        <w:tabs>
          <w:tab w:val="left" w:pos="8931"/>
        </w:tabs>
        <w:spacing w:after="60"/>
        <w:ind w:left="720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7A8E" w:rsidRPr="00992424" w:rsidRDefault="00D327F1" w:rsidP="00D327F1">
      <w:pPr>
        <w:spacing w:after="60"/>
        <w:ind w:right="-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92424">
        <w:rPr>
          <w:rFonts w:ascii="Arial" w:hAnsi="Arial" w:cs="Arial"/>
          <w:b/>
          <w:sz w:val="24"/>
          <w:szCs w:val="24"/>
          <w:shd w:val="clear" w:color="auto" w:fill="FFFFFF"/>
        </w:rPr>
        <w:t>Da análise</w:t>
      </w:r>
      <w:r w:rsidR="00797A8E" w:rsidRPr="00992424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D327F1" w:rsidRPr="00992424" w:rsidRDefault="00D327F1" w:rsidP="00D327F1">
      <w:pPr>
        <w:tabs>
          <w:tab w:val="left" w:pos="709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3D4111" w:rsidRPr="00992424" w:rsidRDefault="00D327F1" w:rsidP="00D327F1">
      <w:pPr>
        <w:tabs>
          <w:tab w:val="left" w:pos="709"/>
        </w:tabs>
        <w:spacing w:after="6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D4111" w:rsidRPr="00992424">
        <w:rPr>
          <w:rFonts w:ascii="Arial" w:hAnsi="Arial" w:cs="Arial"/>
          <w:sz w:val="24"/>
          <w:szCs w:val="24"/>
          <w:shd w:val="clear" w:color="auto" w:fill="FFFFFF"/>
        </w:rPr>
        <w:t>Cabe salientar que o sistema educacional brasileiro é dividido em dois níveis, a educação básica e educação superior.</w:t>
      </w:r>
    </w:p>
    <w:p w:rsidR="003D4111" w:rsidRPr="00992424" w:rsidRDefault="003D411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  <w:shd w:val="clear" w:color="auto" w:fill="FFFFFF"/>
        </w:rPr>
        <w:t xml:space="preserve">O conceito de educação básica foi ampliado a partir da Lei de Diretrizes e Bases da Educação (LDB), de 1996, pois a lei anterior estabelecia como básico o antigo primeiro grau. A LDB atribui à educação básica a finalidade de desenvolver o educando, assegurando-lhe a formação comum essencial para exercer a cidadania, prosseguir seus estudos e ingressar no mercado de trabalho e </w:t>
      </w:r>
      <w:r w:rsidR="00797A8E" w:rsidRPr="00992424">
        <w:rPr>
          <w:rFonts w:ascii="Arial" w:hAnsi="Arial" w:cs="Arial"/>
          <w:sz w:val="24"/>
          <w:szCs w:val="24"/>
          <w:shd w:val="clear" w:color="auto" w:fill="FFFFFF"/>
        </w:rPr>
        <w:t>está</w:t>
      </w:r>
      <w:r w:rsidRPr="00992424">
        <w:rPr>
          <w:rFonts w:ascii="Arial" w:hAnsi="Arial" w:cs="Arial"/>
          <w:sz w:val="24"/>
          <w:szCs w:val="24"/>
          <w:shd w:val="clear" w:color="auto" w:fill="FFFFFF"/>
        </w:rPr>
        <w:t xml:space="preserve"> dividida em </w:t>
      </w:r>
      <w:r w:rsidR="00797A8E" w:rsidRPr="00992424"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Pr="00992424">
        <w:rPr>
          <w:rFonts w:ascii="Arial" w:hAnsi="Arial" w:cs="Arial"/>
          <w:sz w:val="24"/>
          <w:szCs w:val="24"/>
          <w:shd w:val="clear" w:color="auto" w:fill="FFFFFF"/>
        </w:rPr>
        <w:t xml:space="preserve"> etapas que são: A educação infantil, o </w:t>
      </w:r>
      <w:r w:rsidR="00797A8E" w:rsidRPr="00992424">
        <w:rPr>
          <w:rFonts w:ascii="Arial" w:hAnsi="Arial" w:cs="Arial"/>
          <w:sz w:val="24"/>
          <w:szCs w:val="24"/>
          <w:shd w:val="clear" w:color="auto" w:fill="FFFFFF"/>
        </w:rPr>
        <w:t>ensino fundamental obrigatório</w:t>
      </w:r>
      <w:r w:rsidRPr="00992424">
        <w:rPr>
          <w:rFonts w:ascii="Arial" w:hAnsi="Arial" w:cs="Arial"/>
          <w:sz w:val="24"/>
          <w:szCs w:val="24"/>
          <w:shd w:val="clear" w:color="auto" w:fill="FFFFFF"/>
        </w:rPr>
        <w:t xml:space="preserve"> de nove anos e uma Ensino médio. Assim sendo cabe destacar </w:t>
      </w:r>
    </w:p>
    <w:p w:rsidR="003D4111" w:rsidRPr="00992424" w:rsidRDefault="003D4111" w:rsidP="003D4111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 educação escolar compõe-se d</w:t>
      </w:r>
      <w:r w:rsidR="00D327F1" w:rsidRPr="00992424">
        <w:rPr>
          <w:rFonts w:ascii="Arial" w:hAnsi="Arial" w:cs="Arial"/>
          <w:sz w:val="24"/>
          <w:szCs w:val="24"/>
        </w:rPr>
        <w:t>os seguintes níveis</w:t>
      </w:r>
      <w:r w:rsidRPr="00992424">
        <w:rPr>
          <w:rFonts w:ascii="Arial" w:hAnsi="Arial" w:cs="Arial"/>
          <w:sz w:val="24"/>
          <w:szCs w:val="24"/>
        </w:rPr>
        <w:t>:</w:t>
      </w:r>
    </w:p>
    <w:p w:rsidR="003D4111" w:rsidRPr="00992424" w:rsidRDefault="003D4111" w:rsidP="00D327F1">
      <w:pPr>
        <w:numPr>
          <w:ilvl w:val="0"/>
          <w:numId w:val="7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Básica</w:t>
      </w:r>
    </w:p>
    <w:p w:rsidR="003D4111" w:rsidRPr="00992424" w:rsidRDefault="003D4111" w:rsidP="00D327F1">
      <w:pPr>
        <w:numPr>
          <w:ilvl w:val="0"/>
          <w:numId w:val="7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Superior</w:t>
      </w:r>
    </w:p>
    <w:p w:rsidR="003D4111" w:rsidRPr="00992424" w:rsidRDefault="003D4111" w:rsidP="003D4111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 Educação Básica organiza-se em três etapas:</w:t>
      </w:r>
    </w:p>
    <w:p w:rsidR="003D4111" w:rsidRPr="00992424" w:rsidRDefault="003D4111" w:rsidP="00D327F1">
      <w:pPr>
        <w:numPr>
          <w:ilvl w:val="0"/>
          <w:numId w:val="6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Infantil – 1ª etapa</w:t>
      </w:r>
    </w:p>
    <w:p w:rsidR="003D4111" w:rsidRPr="00992424" w:rsidRDefault="003D4111" w:rsidP="00D327F1">
      <w:pPr>
        <w:numPr>
          <w:ilvl w:val="0"/>
          <w:numId w:val="6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Ensino Fundamental – 2ª etapa</w:t>
      </w:r>
    </w:p>
    <w:p w:rsidR="003D4111" w:rsidRPr="00992424" w:rsidRDefault="003D4111" w:rsidP="00D327F1">
      <w:pPr>
        <w:numPr>
          <w:ilvl w:val="0"/>
          <w:numId w:val="6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Ensino Médio – 3ª etapa</w:t>
      </w:r>
    </w:p>
    <w:p w:rsidR="003D4111" w:rsidRPr="00992424" w:rsidRDefault="003D4111" w:rsidP="003D4111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São modalidades de ensino:</w:t>
      </w:r>
    </w:p>
    <w:p w:rsidR="003D4111" w:rsidRPr="00992424" w:rsidRDefault="003D4111" w:rsidP="00D327F1">
      <w:pPr>
        <w:numPr>
          <w:ilvl w:val="0"/>
          <w:numId w:val="5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de Jovens e Adultos (EJA) </w:t>
      </w:r>
    </w:p>
    <w:p w:rsidR="003D4111" w:rsidRPr="00992424" w:rsidRDefault="003D4111" w:rsidP="00D327F1">
      <w:pPr>
        <w:numPr>
          <w:ilvl w:val="0"/>
          <w:numId w:val="5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Educação Profissional e </w:t>
      </w:r>
      <w:r w:rsidR="00797A8E" w:rsidRPr="00992424">
        <w:rPr>
          <w:rFonts w:ascii="Arial" w:hAnsi="Arial" w:cs="Arial"/>
          <w:sz w:val="24"/>
          <w:szCs w:val="24"/>
        </w:rPr>
        <w:t>Tecnologia</w:t>
      </w:r>
    </w:p>
    <w:p w:rsidR="003D4111" w:rsidRPr="00992424" w:rsidRDefault="003D4111" w:rsidP="00D327F1">
      <w:pPr>
        <w:numPr>
          <w:ilvl w:val="0"/>
          <w:numId w:val="5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Especial</w:t>
      </w:r>
    </w:p>
    <w:p w:rsidR="003D4111" w:rsidRPr="00992424" w:rsidRDefault="003D4111" w:rsidP="00D327F1">
      <w:pPr>
        <w:numPr>
          <w:ilvl w:val="0"/>
          <w:numId w:val="5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a distância</w:t>
      </w:r>
    </w:p>
    <w:p w:rsidR="003D4111" w:rsidRPr="00992424" w:rsidRDefault="003D4111" w:rsidP="00D327F1">
      <w:pPr>
        <w:numPr>
          <w:ilvl w:val="0"/>
          <w:numId w:val="5"/>
        </w:numPr>
        <w:tabs>
          <w:tab w:val="left" w:pos="8931"/>
        </w:tabs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Educação Indígena</w:t>
      </w:r>
    </w:p>
    <w:p w:rsidR="00A42109" w:rsidRPr="00992424" w:rsidRDefault="00A42109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2259FD" w:rsidRPr="00992424" w:rsidRDefault="00D327F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Diante do exposto concluímos </w:t>
      </w:r>
      <w:r w:rsidR="007811C7" w:rsidRPr="00992424">
        <w:rPr>
          <w:rFonts w:ascii="Arial" w:hAnsi="Arial" w:cs="Arial"/>
          <w:sz w:val="24"/>
          <w:szCs w:val="24"/>
        </w:rPr>
        <w:t>que a</w:t>
      </w:r>
      <w:r w:rsidRPr="00992424">
        <w:rPr>
          <w:rFonts w:ascii="Arial" w:hAnsi="Arial" w:cs="Arial"/>
          <w:sz w:val="24"/>
          <w:szCs w:val="24"/>
        </w:rPr>
        <w:t xml:space="preserve"> classificação de nível e ou modalidade das chamadas “Turmas de Aceleração” não se enquadram</w:t>
      </w:r>
      <w:r w:rsidR="00A42109" w:rsidRPr="00992424">
        <w:rPr>
          <w:rFonts w:ascii="Arial" w:hAnsi="Arial" w:cs="Arial"/>
          <w:sz w:val="24"/>
          <w:szCs w:val="24"/>
        </w:rPr>
        <w:t>.</w:t>
      </w:r>
    </w:p>
    <w:p w:rsidR="00B96275" w:rsidRPr="00992424" w:rsidRDefault="00B96275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  <w:b/>
        </w:rPr>
      </w:pPr>
    </w:p>
    <w:p w:rsidR="00B96275" w:rsidRPr="00992424" w:rsidRDefault="00B96275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  <w:b/>
        </w:rPr>
      </w:pPr>
      <w:r w:rsidRPr="00992424">
        <w:rPr>
          <w:rFonts w:ascii="Arial" w:hAnsi="Arial" w:cs="Arial"/>
          <w:b/>
        </w:rPr>
        <w:t>Histórico das Turmas de Aceleração</w:t>
      </w:r>
    </w:p>
    <w:p w:rsidR="00B96275" w:rsidRPr="00992424" w:rsidRDefault="00B96275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</w:p>
    <w:p w:rsidR="007811C7" w:rsidRPr="00992424" w:rsidRDefault="007811C7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992424">
        <w:rPr>
          <w:rFonts w:ascii="Arial" w:hAnsi="Arial" w:cs="Arial"/>
        </w:rPr>
        <w:t xml:space="preserve">Trata-se de termo atribuído ao programa instituído em 1997 pelo Ministério da Educação (MEC) que visava corrigir a distorção do fluxo escolar, ou seja, a defasagem entre </w:t>
      </w:r>
      <w:r w:rsidRPr="00992424">
        <w:rPr>
          <w:rFonts w:ascii="Arial" w:hAnsi="Arial" w:cs="Arial"/>
        </w:rPr>
        <w:lastRenderedPageBreak/>
        <w:t xml:space="preserve">a idade e a série que os alunos deveriam estar cursando. Essa distorção geralmente está ligada à repetência e à evasão escolar, considerados os principais problemas da educação nacional. A aceleração da aprendizagem é considerada uma </w:t>
      </w:r>
      <w:r w:rsidRPr="00992424">
        <w:rPr>
          <w:rFonts w:ascii="Arial" w:hAnsi="Arial" w:cs="Arial"/>
          <w:b/>
          <w:i/>
        </w:rPr>
        <w:t>estratégia pedagógica</w:t>
      </w:r>
      <w:r w:rsidRPr="00992424">
        <w:rPr>
          <w:rFonts w:ascii="Arial" w:hAnsi="Arial" w:cs="Arial"/>
        </w:rPr>
        <w:t xml:space="preserve"> que parte da ideia de que o nível de maturidade dos alunos permite uma abordagem mais rápida dos conteúdos para ajudar-lhes a recuperar o tempo perdido. A correção do fluxo escolar é entendida como uma questão política pois a partir dela surgem políticas ou planos educacionais determinados, como a aceleração de aprendizagem.</w:t>
      </w:r>
    </w:p>
    <w:p w:rsidR="007811C7" w:rsidRPr="00992424" w:rsidRDefault="007811C7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992424">
        <w:rPr>
          <w:rFonts w:ascii="Arial" w:hAnsi="Arial" w:cs="Arial"/>
        </w:rPr>
        <w:t>Segundo o MEC, o programa de aceleração de aprendizagem “tem a finalidade de possibilitar aos sistemas públicos de ensino, municipal e estadual as necessárias condições para combater o fracasso escolar, proporcionando aos alunos que apresentam a chamada distorção idade-série efetivas condições para a superação de dificuldades relacionadas com o processo de ensino-aprendizagem”.</w:t>
      </w:r>
    </w:p>
    <w:p w:rsidR="00E52932" w:rsidRPr="00992424" w:rsidRDefault="007811C7" w:rsidP="00A42109">
      <w:pPr>
        <w:pStyle w:val="Normal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992424">
        <w:rPr>
          <w:rFonts w:ascii="Arial" w:hAnsi="Arial" w:cs="Arial"/>
        </w:rPr>
        <w:t xml:space="preserve">A </w:t>
      </w:r>
      <w:r w:rsidR="00E52932" w:rsidRPr="00992424">
        <w:rPr>
          <w:rFonts w:ascii="Arial" w:hAnsi="Arial" w:cs="Arial"/>
          <w:shd w:val="clear" w:color="auto" w:fill="FFFFFF"/>
        </w:rPr>
        <w:t xml:space="preserve">Lei de Diretrizes e Bases da Educação (LDB), de 1996 em seu artigo 24 diz que </w:t>
      </w:r>
      <w:r w:rsidR="00E52932" w:rsidRPr="00992424">
        <w:rPr>
          <w:rFonts w:ascii="Arial" w:hAnsi="Arial" w:cs="Arial"/>
        </w:rPr>
        <w:t>educação básica, nos níveis fundamental e médio, será organizada de acordo com regras comuns a destacar:</w:t>
      </w:r>
    </w:p>
    <w:p w:rsidR="00E52932" w:rsidRPr="00992424" w:rsidRDefault="00E52932" w:rsidP="00E52932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“...I - a carga horária mínima anual será de oitocentas horas para o ensino fundamental e para o ensino médio, distribuídas por um mínimo de duzentos dias de efetivo trabalho escolar, excluído o tempo reservado aos exames finais, quando houver; (Redação dada pela Lei nº 13.415, de 2017)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II - a classificação em qualquer série ou etapa, exceto a primeira do ensino fundamental, pode ser feita: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a) por promoção, para alunos que cursaram, com aproveitamento, a série ou fase anterior, na própria escola;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b) por transferência, para candidatos procedentes de outras escolas;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c) independentemente de escolarização anterior, mediante avaliação feita pela escola, que defina o grau de desenvolvimento e experiência do candidato e permita sua inscrição na série ou etapa adequada, conforme regulamentação do respectivo sistema de ensino;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i/>
          <w:sz w:val="24"/>
          <w:szCs w:val="24"/>
        </w:rPr>
      </w:pPr>
      <w:r w:rsidRPr="00992424">
        <w:rPr>
          <w:rFonts w:ascii="Arial" w:hAnsi="Arial" w:cs="Arial"/>
          <w:i/>
          <w:sz w:val="24"/>
          <w:szCs w:val="24"/>
        </w:rPr>
        <w:t xml:space="preserve">III - nos estabelecimentos que adotam a progressão regular por série, o regimento escolar pode admitir </w:t>
      </w:r>
      <w:r w:rsidRPr="00992424">
        <w:rPr>
          <w:rFonts w:ascii="Arial" w:hAnsi="Arial" w:cs="Arial"/>
          <w:i/>
          <w:sz w:val="24"/>
          <w:szCs w:val="24"/>
        </w:rPr>
        <w:lastRenderedPageBreak/>
        <w:t>formas de progressão parcial</w:t>
      </w:r>
      <w:r w:rsidRPr="00992424">
        <w:rPr>
          <w:rFonts w:ascii="Arial" w:hAnsi="Arial" w:cs="Arial"/>
          <w:b/>
          <w:i/>
          <w:sz w:val="24"/>
          <w:szCs w:val="24"/>
        </w:rPr>
        <w:t>, desde que preservada a sequência do currículo</w:t>
      </w:r>
      <w:r w:rsidR="00A42109" w:rsidRPr="00992424">
        <w:rPr>
          <w:rFonts w:ascii="Arial" w:hAnsi="Arial" w:cs="Arial"/>
          <w:b/>
          <w:i/>
          <w:sz w:val="24"/>
          <w:szCs w:val="24"/>
        </w:rPr>
        <w:t>*</w:t>
      </w:r>
      <w:r w:rsidRPr="00992424">
        <w:rPr>
          <w:rFonts w:ascii="Arial" w:hAnsi="Arial" w:cs="Arial"/>
          <w:b/>
          <w:i/>
          <w:sz w:val="24"/>
          <w:szCs w:val="24"/>
        </w:rPr>
        <w:t>,</w:t>
      </w:r>
      <w:r w:rsidRPr="00992424">
        <w:rPr>
          <w:rFonts w:ascii="Arial" w:hAnsi="Arial" w:cs="Arial"/>
          <w:i/>
          <w:sz w:val="24"/>
          <w:szCs w:val="24"/>
        </w:rPr>
        <w:t xml:space="preserve"> observadas as normas do respectivo sistema de ensino;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i/>
          <w:sz w:val="24"/>
          <w:szCs w:val="24"/>
        </w:rPr>
      </w:pPr>
      <w:r w:rsidRPr="00992424">
        <w:rPr>
          <w:rFonts w:ascii="Arial" w:hAnsi="Arial" w:cs="Arial"/>
          <w:i/>
          <w:sz w:val="24"/>
          <w:szCs w:val="24"/>
        </w:rPr>
        <w:t xml:space="preserve">IV </w:t>
      </w:r>
      <w:r w:rsidR="00A42109" w:rsidRPr="00992424">
        <w:rPr>
          <w:rFonts w:ascii="Arial" w:hAnsi="Arial" w:cs="Arial"/>
          <w:i/>
          <w:sz w:val="24"/>
          <w:szCs w:val="24"/>
        </w:rPr>
        <w:t>–</w:t>
      </w:r>
      <w:r w:rsidRPr="00992424">
        <w:rPr>
          <w:rFonts w:ascii="Arial" w:hAnsi="Arial" w:cs="Arial"/>
          <w:i/>
          <w:sz w:val="24"/>
          <w:szCs w:val="24"/>
        </w:rPr>
        <w:t xml:space="preserve"> poderão organizar-se classes, ou turmas, com </w:t>
      </w:r>
      <w:r w:rsidRPr="00992424">
        <w:rPr>
          <w:rFonts w:ascii="Arial" w:hAnsi="Arial" w:cs="Arial"/>
          <w:b/>
          <w:i/>
          <w:sz w:val="24"/>
          <w:szCs w:val="24"/>
        </w:rPr>
        <w:t>alunos</w:t>
      </w:r>
      <w:r w:rsidR="00A42109" w:rsidRPr="00992424">
        <w:rPr>
          <w:rFonts w:ascii="Arial" w:hAnsi="Arial" w:cs="Arial"/>
          <w:b/>
          <w:i/>
          <w:sz w:val="24"/>
          <w:szCs w:val="24"/>
        </w:rPr>
        <w:t>*</w:t>
      </w:r>
      <w:r w:rsidRPr="00992424">
        <w:rPr>
          <w:rFonts w:ascii="Arial" w:hAnsi="Arial" w:cs="Arial"/>
          <w:i/>
          <w:sz w:val="24"/>
          <w:szCs w:val="24"/>
        </w:rPr>
        <w:t xml:space="preserve"> de séries distintas, </w:t>
      </w:r>
      <w:r w:rsidRPr="00992424">
        <w:rPr>
          <w:rFonts w:ascii="Arial" w:hAnsi="Arial" w:cs="Arial"/>
          <w:b/>
          <w:i/>
          <w:sz w:val="24"/>
          <w:szCs w:val="24"/>
        </w:rPr>
        <w:t>com níveis equivalentes de adiantamento na matéria</w:t>
      </w:r>
      <w:r w:rsidR="00A42109" w:rsidRPr="00992424">
        <w:rPr>
          <w:rFonts w:ascii="Arial" w:hAnsi="Arial" w:cs="Arial"/>
          <w:b/>
          <w:i/>
          <w:sz w:val="24"/>
          <w:szCs w:val="24"/>
        </w:rPr>
        <w:t>*</w:t>
      </w:r>
      <w:r w:rsidRPr="00992424">
        <w:rPr>
          <w:rFonts w:ascii="Arial" w:hAnsi="Arial" w:cs="Arial"/>
          <w:i/>
          <w:sz w:val="24"/>
          <w:szCs w:val="24"/>
        </w:rPr>
        <w:t>, para o ensino de línguas estrangeiras, artes, ou outros componentes curriculares;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V </w:t>
      </w:r>
      <w:r w:rsidR="00A42109" w:rsidRPr="00992424">
        <w:rPr>
          <w:rFonts w:ascii="Arial" w:hAnsi="Arial" w:cs="Arial"/>
          <w:sz w:val="24"/>
          <w:szCs w:val="24"/>
        </w:rPr>
        <w:t>–</w:t>
      </w:r>
      <w:r w:rsidRPr="00992424">
        <w:rPr>
          <w:rFonts w:ascii="Arial" w:hAnsi="Arial" w:cs="Arial"/>
          <w:sz w:val="24"/>
          <w:szCs w:val="24"/>
        </w:rPr>
        <w:t xml:space="preserve"> a verificação do rendimento escolar observará os seguintes critérios: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a) avaliação contínua e cumulativa do desempenho do aluno, com prevalência dos aspectos qualitativos sobre os quantitativos e dos resultados ao longo do período sobre os de eventuais provas finais;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b) possibilidade de aceleração de estudos para alunos com atraso escolar;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c) possibilidade de avanço nos cursos e nas séries mediante verificação do aprendizado;</w:t>
      </w:r>
    </w:p>
    <w:p w:rsidR="00E52932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d) aproveitamento de estudos concluídos com êxito;</w:t>
      </w:r>
    </w:p>
    <w:p w:rsidR="007811C7" w:rsidRPr="00992424" w:rsidRDefault="00E52932" w:rsidP="00E52932">
      <w:pPr>
        <w:tabs>
          <w:tab w:val="left" w:pos="8931"/>
        </w:tabs>
        <w:spacing w:after="60"/>
        <w:ind w:left="3828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e) obrigatoriedade de estudos de recuperação, de preferência paralelos ao período letivo, para os casos de baixo rendimento escolar, a serem disciplinados pelas instituições de ensino em seus regimentos;”</w:t>
      </w:r>
    </w:p>
    <w:p w:rsidR="00E52932" w:rsidRPr="00992424" w:rsidRDefault="00E52932" w:rsidP="00A42109">
      <w:pPr>
        <w:tabs>
          <w:tab w:val="left" w:pos="709"/>
        </w:tabs>
        <w:spacing w:after="60"/>
        <w:ind w:right="-1"/>
        <w:jc w:val="right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ab/>
      </w:r>
      <w:r w:rsidR="00A42109" w:rsidRPr="00992424">
        <w:rPr>
          <w:rFonts w:ascii="Arial" w:hAnsi="Arial" w:cs="Arial"/>
          <w:sz w:val="24"/>
          <w:szCs w:val="24"/>
        </w:rPr>
        <w:t>*Grifos do Relator.</w:t>
      </w:r>
    </w:p>
    <w:p w:rsidR="00A42109" w:rsidRPr="00992424" w:rsidRDefault="00A42109" w:rsidP="00A42109">
      <w:pPr>
        <w:tabs>
          <w:tab w:val="left" w:pos="709"/>
        </w:tabs>
        <w:spacing w:after="60"/>
        <w:ind w:right="-1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Neste sentido entendemos que da forma como </w:t>
      </w:r>
      <w:r w:rsidR="00B96275" w:rsidRPr="00992424">
        <w:rPr>
          <w:rFonts w:ascii="Arial" w:hAnsi="Arial" w:cs="Arial"/>
          <w:sz w:val="24"/>
          <w:szCs w:val="24"/>
        </w:rPr>
        <w:t>está</w:t>
      </w:r>
      <w:r w:rsidRPr="00992424">
        <w:rPr>
          <w:rFonts w:ascii="Arial" w:hAnsi="Arial" w:cs="Arial"/>
          <w:sz w:val="24"/>
          <w:szCs w:val="24"/>
        </w:rPr>
        <w:t xml:space="preserve"> colocado no Regimento da Escola, ou seja</w:t>
      </w:r>
      <w:r w:rsidR="00B96275" w:rsidRPr="00992424">
        <w:rPr>
          <w:rFonts w:ascii="Arial" w:hAnsi="Arial" w:cs="Arial"/>
          <w:sz w:val="24"/>
          <w:szCs w:val="24"/>
        </w:rPr>
        <w:t>,</w:t>
      </w:r>
      <w:r w:rsidRPr="00992424">
        <w:rPr>
          <w:rFonts w:ascii="Arial" w:hAnsi="Arial" w:cs="Arial"/>
          <w:sz w:val="24"/>
          <w:szCs w:val="24"/>
        </w:rPr>
        <w:t xml:space="preserve"> “turmas de aceleração” dentro d</w:t>
      </w:r>
      <w:r w:rsidR="00B96275" w:rsidRPr="00992424">
        <w:rPr>
          <w:rFonts w:ascii="Arial" w:hAnsi="Arial" w:cs="Arial"/>
          <w:sz w:val="24"/>
          <w:szCs w:val="24"/>
        </w:rPr>
        <w:t>o Item</w:t>
      </w:r>
      <w:r w:rsidRPr="00992424">
        <w:rPr>
          <w:rFonts w:ascii="Arial" w:hAnsi="Arial" w:cs="Arial"/>
          <w:sz w:val="24"/>
          <w:szCs w:val="24"/>
        </w:rPr>
        <w:t xml:space="preserve"> </w:t>
      </w:r>
      <w:r w:rsidR="00B96275" w:rsidRPr="00992424">
        <w:rPr>
          <w:rFonts w:ascii="Arial" w:hAnsi="Arial" w:cs="Arial"/>
          <w:sz w:val="24"/>
          <w:szCs w:val="24"/>
        </w:rPr>
        <w:t>níveis</w:t>
      </w:r>
      <w:r w:rsidRPr="00992424">
        <w:rPr>
          <w:rFonts w:ascii="Arial" w:hAnsi="Arial" w:cs="Arial"/>
          <w:sz w:val="24"/>
          <w:szCs w:val="24"/>
        </w:rPr>
        <w:t xml:space="preserve"> </w:t>
      </w:r>
      <w:r w:rsidR="00B96275" w:rsidRPr="00992424">
        <w:rPr>
          <w:rFonts w:ascii="Arial" w:hAnsi="Arial" w:cs="Arial"/>
          <w:sz w:val="24"/>
          <w:szCs w:val="24"/>
        </w:rPr>
        <w:t>e m</w:t>
      </w:r>
      <w:r w:rsidRPr="00992424">
        <w:rPr>
          <w:rFonts w:ascii="Arial" w:hAnsi="Arial" w:cs="Arial"/>
          <w:sz w:val="24"/>
          <w:szCs w:val="24"/>
        </w:rPr>
        <w:t xml:space="preserve">odalidades está em desacordo com a legislação vigente e deverá ser adequado, tendo em vista que este recurso deve, ou </w:t>
      </w:r>
      <w:r w:rsidR="00B96275" w:rsidRPr="00992424">
        <w:rPr>
          <w:rFonts w:ascii="Arial" w:hAnsi="Arial" w:cs="Arial"/>
          <w:sz w:val="24"/>
          <w:szCs w:val="24"/>
        </w:rPr>
        <w:t>deveria ser</w:t>
      </w:r>
      <w:r w:rsidRPr="00992424">
        <w:rPr>
          <w:rFonts w:ascii="Arial" w:hAnsi="Arial" w:cs="Arial"/>
          <w:sz w:val="24"/>
          <w:szCs w:val="24"/>
        </w:rPr>
        <w:t xml:space="preserve"> apresentado como projeto e ou programa e não como nível, modalidade ou até mesmo etapa da Educação Básica.</w:t>
      </w:r>
    </w:p>
    <w:p w:rsidR="00B96275" w:rsidRPr="00992424" w:rsidRDefault="00B96275" w:rsidP="00A42109">
      <w:pPr>
        <w:tabs>
          <w:tab w:val="left" w:pos="709"/>
        </w:tabs>
        <w:spacing w:after="60"/>
        <w:ind w:right="-1"/>
        <w:rPr>
          <w:rFonts w:ascii="Arial" w:hAnsi="Arial" w:cs="Arial"/>
          <w:sz w:val="24"/>
          <w:szCs w:val="24"/>
        </w:rPr>
      </w:pPr>
    </w:p>
    <w:p w:rsidR="002259FD" w:rsidRPr="00992424" w:rsidRDefault="00B9627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Ainda </w:t>
      </w:r>
      <w:r w:rsidR="009B5DB5" w:rsidRPr="00992424">
        <w:rPr>
          <w:rFonts w:ascii="Arial" w:hAnsi="Arial" w:cs="Arial"/>
          <w:sz w:val="24"/>
          <w:szCs w:val="24"/>
        </w:rPr>
        <w:t xml:space="preserve">da 1ª ressalva </w:t>
      </w:r>
      <w:r w:rsidRPr="00992424">
        <w:rPr>
          <w:rFonts w:ascii="Arial" w:hAnsi="Arial" w:cs="Arial"/>
          <w:sz w:val="24"/>
          <w:szCs w:val="24"/>
        </w:rPr>
        <w:t xml:space="preserve">no item 4.5.1 na página 18, é apresentado a Educação de Jovens e Adultos apenas em suas etapas I e II que tratam especificamente da alfabetização, porem quando é explicitado a forma de organização da modalidade EJA a Escola descreve as totalidades finais ou sejam III, IV, V e VI, </w:t>
      </w:r>
      <w:r w:rsidR="00D15B3E" w:rsidRPr="00992424">
        <w:rPr>
          <w:rFonts w:ascii="Arial" w:hAnsi="Arial" w:cs="Arial"/>
          <w:sz w:val="24"/>
          <w:szCs w:val="24"/>
        </w:rPr>
        <w:t>também</w:t>
      </w:r>
      <w:r w:rsidRPr="00992424">
        <w:rPr>
          <w:rFonts w:ascii="Arial" w:hAnsi="Arial" w:cs="Arial"/>
          <w:sz w:val="24"/>
          <w:szCs w:val="24"/>
        </w:rPr>
        <w:t xml:space="preserve"> descrevendo que a avaliação será diferenciada na forma temporal entre as Totalidade I e II semestral e Totalidades III, IV, V e VI trimestral.</w:t>
      </w:r>
    </w:p>
    <w:p w:rsidR="00B96275" w:rsidRPr="00992424" w:rsidRDefault="00B9627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B96275" w:rsidRPr="00992424" w:rsidRDefault="009B5DB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A Resolução CME005/2017 do Conselho Municipal de Educação de Charqueadas que disciplina a organização da EJA no Município descreve em seu artigo 2º e </w:t>
      </w:r>
      <w:proofErr w:type="gramStart"/>
      <w:r w:rsidRPr="00992424">
        <w:rPr>
          <w:rFonts w:ascii="Arial" w:hAnsi="Arial" w:cs="Arial"/>
          <w:sz w:val="24"/>
          <w:szCs w:val="24"/>
        </w:rPr>
        <w:t>incisos  a</w:t>
      </w:r>
      <w:proofErr w:type="gramEnd"/>
      <w:r w:rsidRPr="00992424">
        <w:rPr>
          <w:rFonts w:ascii="Arial" w:hAnsi="Arial" w:cs="Arial"/>
          <w:sz w:val="24"/>
          <w:szCs w:val="24"/>
        </w:rPr>
        <w:t xml:space="preserve"> forma da verificação do aprendizado bem como a temporalidade desta, </w:t>
      </w:r>
      <w:proofErr w:type="spellStart"/>
      <w:r w:rsidRPr="00992424">
        <w:rPr>
          <w:rFonts w:ascii="Arial" w:hAnsi="Arial" w:cs="Arial"/>
          <w:sz w:val="24"/>
          <w:szCs w:val="24"/>
        </w:rPr>
        <w:t>se não</w:t>
      </w:r>
      <w:proofErr w:type="spellEnd"/>
      <w:r w:rsidRPr="00992424">
        <w:rPr>
          <w:rFonts w:ascii="Arial" w:hAnsi="Arial" w:cs="Arial"/>
          <w:sz w:val="24"/>
          <w:szCs w:val="24"/>
        </w:rPr>
        <w:t xml:space="preserve"> vejamos:</w:t>
      </w:r>
    </w:p>
    <w:p w:rsidR="00B96275" w:rsidRPr="00992424" w:rsidRDefault="00B9627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“Art. 2º – O estudante de qualquer Totalidade será considerado aprovado para a Totalidade subsequente, de acordo com a avaliação das competências e habilidades por ele construídas durante o processo de formação, sendo que a conclusão do Ensino Fundamental ocorrerá no final do semestre letivo, em consonância com o Projeto Político-pedagógico da escola e o Regimento Escolar.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Parágrafo Único - a verificação do rendimento escolar observará os seguintes critérios: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a) avaliação contínua e cumulativa do desempenho do aluno, com prevalência dos aspectos qualitativos sobre os quantitativos e dos resultados ao longo do período sobre os de eventuais provas finais;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b) possibilidade de aceleração de estudos para alunos com atraso escolar;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c) possibilidade de avanço nos cursos e nas séries mediante verificação do aprendizado;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d) aproveitamento de estudos concluídos com êxito;</w:t>
      </w:r>
    </w:p>
    <w:p w:rsidR="009B5DB5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e) obrigatoriedade de estudos de recuperação, de preferência paralelos ao período letivo, para os casos de baixo rendimento escolar.</w:t>
      </w:r>
    </w:p>
    <w:p w:rsidR="007738C1" w:rsidRPr="00992424" w:rsidRDefault="009B5DB5" w:rsidP="009B5DB5">
      <w:pPr>
        <w:tabs>
          <w:tab w:val="left" w:pos="8931"/>
        </w:tabs>
        <w:spacing w:after="60"/>
        <w:ind w:left="4962"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f) para garantir um mínimo de qualidade e variedade de instrumentos no processo avaliativo de cada semestre, deverá a escola proporcionar aos alunos o mínimo de 3 (três) instrumentos avaliativos, em cada semestre, que contemplem de forma total ou fracionada os conteúdos que estão sendo desenvolvidos em cada </w:t>
      </w:r>
      <w:r w:rsidR="002E6F22" w:rsidRPr="00992424">
        <w:rPr>
          <w:rFonts w:ascii="Arial" w:hAnsi="Arial" w:cs="Arial"/>
          <w:sz w:val="24"/>
          <w:szCs w:val="24"/>
        </w:rPr>
        <w:t>disciplina. ”</w:t>
      </w:r>
    </w:p>
    <w:p w:rsidR="007738C1" w:rsidRPr="00992424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738C1" w:rsidRPr="00992424" w:rsidRDefault="009B5DB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Diante do exposto solicitamos que a Escola </w:t>
      </w:r>
      <w:r w:rsidR="002E6F22" w:rsidRPr="00992424">
        <w:rPr>
          <w:rFonts w:ascii="Arial" w:hAnsi="Arial" w:cs="Arial"/>
          <w:sz w:val="24"/>
          <w:szCs w:val="24"/>
        </w:rPr>
        <w:t>retifique</w:t>
      </w:r>
      <w:r w:rsidRPr="00992424">
        <w:rPr>
          <w:rFonts w:ascii="Arial" w:hAnsi="Arial" w:cs="Arial"/>
          <w:sz w:val="24"/>
          <w:szCs w:val="24"/>
        </w:rPr>
        <w:t xml:space="preserve"> seu regimento </w:t>
      </w:r>
      <w:r w:rsidR="002E6F22" w:rsidRPr="00992424">
        <w:rPr>
          <w:rFonts w:ascii="Arial" w:hAnsi="Arial" w:cs="Arial"/>
          <w:sz w:val="24"/>
          <w:szCs w:val="24"/>
        </w:rPr>
        <w:t xml:space="preserve">adequando-o </w:t>
      </w:r>
      <w:r w:rsidRPr="00992424">
        <w:rPr>
          <w:rFonts w:ascii="Arial" w:hAnsi="Arial" w:cs="Arial"/>
          <w:sz w:val="24"/>
          <w:szCs w:val="24"/>
        </w:rPr>
        <w:t>a norma acima citada</w:t>
      </w:r>
      <w:r w:rsidR="002E6F22" w:rsidRPr="00992424">
        <w:rPr>
          <w:rFonts w:ascii="Arial" w:hAnsi="Arial" w:cs="Arial"/>
          <w:sz w:val="24"/>
          <w:szCs w:val="24"/>
        </w:rPr>
        <w:t>.</w:t>
      </w:r>
    </w:p>
    <w:p w:rsidR="002E6F22" w:rsidRPr="00992424" w:rsidRDefault="002E6F22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lastRenderedPageBreak/>
        <w:t xml:space="preserve">2ª </w:t>
      </w:r>
      <w:r w:rsidR="007738C1" w:rsidRPr="00992424">
        <w:rPr>
          <w:rFonts w:ascii="Arial" w:hAnsi="Arial" w:cs="Arial"/>
          <w:sz w:val="24"/>
          <w:szCs w:val="24"/>
        </w:rPr>
        <w:t>ressalva</w:t>
      </w:r>
      <w:r w:rsidRPr="00992424">
        <w:rPr>
          <w:rFonts w:ascii="Arial" w:hAnsi="Arial" w:cs="Arial"/>
          <w:sz w:val="24"/>
          <w:szCs w:val="24"/>
        </w:rPr>
        <w:t xml:space="preserve"> Em momento algum, dentro da Modalidade EJA, ficou disciplinado </w:t>
      </w:r>
      <w:proofErr w:type="gramStart"/>
      <w:r w:rsidRPr="00992424">
        <w:rPr>
          <w:rFonts w:ascii="Arial" w:hAnsi="Arial" w:cs="Arial"/>
          <w:sz w:val="24"/>
          <w:szCs w:val="24"/>
        </w:rPr>
        <w:t xml:space="preserve">a </w:t>
      </w:r>
      <w:r w:rsidR="00F42B40" w:rsidRPr="00992424">
        <w:rPr>
          <w:rFonts w:ascii="Arial" w:hAnsi="Arial" w:cs="Arial"/>
          <w:sz w:val="24"/>
          <w:szCs w:val="24"/>
        </w:rPr>
        <w:t xml:space="preserve"> carga</w:t>
      </w:r>
      <w:proofErr w:type="gramEnd"/>
      <w:r w:rsidR="00F42B40" w:rsidRPr="00992424">
        <w:rPr>
          <w:rFonts w:ascii="Arial" w:hAnsi="Arial" w:cs="Arial"/>
          <w:sz w:val="24"/>
          <w:szCs w:val="24"/>
        </w:rPr>
        <w:t xml:space="preserve"> horária mínima para certificação dos estudantes da modalidade</w:t>
      </w:r>
      <w:r w:rsidRPr="00992424">
        <w:rPr>
          <w:rFonts w:ascii="Arial" w:hAnsi="Arial" w:cs="Arial"/>
          <w:sz w:val="24"/>
          <w:szCs w:val="24"/>
        </w:rPr>
        <w:t xml:space="preserve">. </w:t>
      </w:r>
    </w:p>
    <w:p w:rsidR="002E6F22" w:rsidRPr="00992424" w:rsidRDefault="002E6F22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F42B40" w:rsidRPr="00992424" w:rsidRDefault="002E6F22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O CME</w:t>
      </w:r>
      <w:r w:rsidR="007738C1" w:rsidRPr="00992424">
        <w:rPr>
          <w:rFonts w:ascii="Arial" w:hAnsi="Arial" w:cs="Arial"/>
          <w:sz w:val="24"/>
          <w:szCs w:val="24"/>
        </w:rPr>
        <w:t xml:space="preserve"> através da</w:t>
      </w:r>
      <w:r w:rsidR="00F42B40" w:rsidRPr="00992424">
        <w:rPr>
          <w:rFonts w:ascii="Arial" w:hAnsi="Arial" w:cs="Arial"/>
          <w:sz w:val="24"/>
          <w:szCs w:val="24"/>
        </w:rPr>
        <w:t xml:space="preserve"> Resolução CME005/</w:t>
      </w:r>
      <w:r w:rsidR="00B067CD" w:rsidRPr="00992424">
        <w:rPr>
          <w:rFonts w:ascii="Arial" w:hAnsi="Arial" w:cs="Arial"/>
          <w:sz w:val="24"/>
          <w:szCs w:val="24"/>
        </w:rPr>
        <w:t>2017, disciplinou este tema e o transcrevemos abaixo:</w:t>
      </w:r>
    </w:p>
    <w:p w:rsidR="0097789C" w:rsidRPr="00992424" w:rsidRDefault="0097789C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97789C" w:rsidRPr="00992424" w:rsidRDefault="00905970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  <w:sz w:val="24"/>
          <w:szCs w:val="24"/>
        </w:rPr>
      </w:pPr>
      <w:r w:rsidRPr="00992424">
        <w:rPr>
          <w:rFonts w:ascii="Arial" w:hAnsi="Arial" w:cs="Arial"/>
          <w:i/>
          <w:sz w:val="24"/>
          <w:szCs w:val="24"/>
        </w:rPr>
        <w:t>“</w:t>
      </w:r>
      <w:r w:rsidR="0097789C" w:rsidRPr="00992424">
        <w:rPr>
          <w:rFonts w:ascii="Arial" w:hAnsi="Arial" w:cs="Arial"/>
          <w:i/>
          <w:sz w:val="24"/>
          <w:szCs w:val="24"/>
        </w:rPr>
        <w:t>Art. 1º - A Educação de Jovens e Adultos – EJA, fica constituída de no mínimo duas mil e</w:t>
      </w:r>
      <w:r w:rsidR="000F1999" w:rsidRPr="00992424">
        <w:rPr>
          <w:rFonts w:ascii="Arial" w:hAnsi="Arial" w:cs="Arial"/>
          <w:i/>
          <w:sz w:val="24"/>
          <w:szCs w:val="24"/>
        </w:rPr>
        <w:t xml:space="preserve"> </w:t>
      </w:r>
      <w:r w:rsidR="0097789C" w:rsidRPr="00992424">
        <w:rPr>
          <w:rFonts w:ascii="Arial" w:hAnsi="Arial" w:cs="Arial"/>
          <w:i/>
          <w:sz w:val="24"/>
          <w:szCs w:val="24"/>
        </w:rPr>
        <w:t>quatrocentas horas (2.400 h), distribuídas em seis (6) totalidades:</w:t>
      </w:r>
    </w:p>
    <w:p w:rsidR="0097789C" w:rsidRPr="00992424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992424">
        <w:rPr>
          <w:rFonts w:ascii="Arial" w:hAnsi="Arial" w:cs="Arial"/>
          <w:i/>
          <w:sz w:val="24"/>
          <w:szCs w:val="24"/>
        </w:rPr>
        <w:t>I – As Totalidades I e II, correspondentes à Alfabetização e Pós-alfabetização (4º e 5º anos),</w:t>
      </w:r>
      <w:r w:rsidR="000F1999" w:rsidRPr="00992424">
        <w:rPr>
          <w:rFonts w:ascii="Arial" w:hAnsi="Arial" w:cs="Arial"/>
          <w:i/>
          <w:sz w:val="24"/>
          <w:szCs w:val="24"/>
        </w:rPr>
        <w:t xml:space="preserve"> </w:t>
      </w:r>
      <w:r w:rsidRPr="00992424">
        <w:rPr>
          <w:rFonts w:ascii="Arial" w:hAnsi="Arial" w:cs="Arial"/>
          <w:i/>
          <w:sz w:val="24"/>
          <w:szCs w:val="24"/>
        </w:rPr>
        <w:t>referentes aos anos iniciais do Ensino Fundamental, fica designada de Totalidade Mista, e poderá ser cumprida em, no mínimo quatrocentas horas (400 h) cada uma, dentro de um semestre letivo.</w:t>
      </w:r>
    </w:p>
    <w:p w:rsidR="0097789C" w:rsidRPr="00992424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</w:p>
    <w:p w:rsidR="0097789C" w:rsidRPr="00992424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992424">
        <w:rPr>
          <w:rFonts w:ascii="Arial" w:hAnsi="Arial" w:cs="Arial"/>
          <w:i/>
          <w:sz w:val="24"/>
          <w:szCs w:val="24"/>
        </w:rPr>
        <w:t>II – As Totalidades III, IV, V e VI, correspondentes aos anos finais do Ensino Fundamental, terão a duração de no mínimo mil e seiscentas horas (1.600 h) e cada uma destas Totalidades poderá ser cumprida em, no mínimo quatrocentas horas (400 h</w:t>
      </w:r>
      <w:r w:rsidR="00905970" w:rsidRPr="00992424">
        <w:rPr>
          <w:rFonts w:ascii="Arial" w:hAnsi="Arial" w:cs="Arial"/>
          <w:i/>
          <w:sz w:val="24"/>
          <w:szCs w:val="24"/>
        </w:rPr>
        <w:t xml:space="preserve">), dentro de um semestre </w:t>
      </w:r>
      <w:r w:rsidR="00B067CD" w:rsidRPr="00992424">
        <w:rPr>
          <w:rFonts w:ascii="Arial" w:hAnsi="Arial" w:cs="Arial"/>
          <w:i/>
          <w:sz w:val="24"/>
          <w:szCs w:val="24"/>
        </w:rPr>
        <w:t>letivo. ”</w:t>
      </w:r>
    </w:p>
    <w:p w:rsidR="007738C1" w:rsidRPr="00992424" w:rsidRDefault="007738C1" w:rsidP="007738C1">
      <w:pPr>
        <w:tabs>
          <w:tab w:val="left" w:pos="8931"/>
        </w:tabs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7789C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Diante do exposto solicitamos a Escola que inclua em seu regimento ou cite-a.</w:t>
      </w:r>
    </w:p>
    <w:p w:rsidR="00B067CD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B067CD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No item 4.7.4.</w:t>
      </w:r>
      <w:r w:rsidR="00992424" w:rsidRPr="00992424">
        <w:rPr>
          <w:rFonts w:ascii="Arial" w:hAnsi="Arial" w:cs="Arial"/>
          <w:sz w:val="24"/>
          <w:szCs w:val="24"/>
        </w:rPr>
        <w:t>2</w:t>
      </w:r>
      <w:r w:rsidRPr="00992424">
        <w:rPr>
          <w:rFonts w:ascii="Arial" w:hAnsi="Arial" w:cs="Arial"/>
          <w:sz w:val="24"/>
          <w:szCs w:val="24"/>
        </w:rPr>
        <w:t xml:space="preserve"> </w:t>
      </w:r>
      <w:r w:rsidR="00992424" w:rsidRPr="00992424">
        <w:rPr>
          <w:rFonts w:ascii="Arial" w:hAnsi="Arial" w:cs="Arial"/>
          <w:sz w:val="24"/>
          <w:szCs w:val="24"/>
        </w:rPr>
        <w:t xml:space="preserve">e em outros, </w:t>
      </w:r>
      <w:r w:rsidRPr="00992424">
        <w:rPr>
          <w:rFonts w:ascii="Arial" w:hAnsi="Arial" w:cs="Arial"/>
          <w:sz w:val="24"/>
          <w:szCs w:val="24"/>
        </w:rPr>
        <w:t xml:space="preserve">a Escola descreve a avaliação </w:t>
      </w:r>
      <w:r w:rsidR="00992424" w:rsidRPr="00992424">
        <w:rPr>
          <w:rFonts w:ascii="Arial" w:hAnsi="Arial" w:cs="Arial"/>
          <w:sz w:val="24"/>
          <w:szCs w:val="24"/>
        </w:rPr>
        <w:t>do 5º ao 9º ano</w:t>
      </w:r>
      <w:r w:rsidRPr="00992424">
        <w:rPr>
          <w:rFonts w:ascii="Arial" w:hAnsi="Arial" w:cs="Arial"/>
          <w:sz w:val="24"/>
          <w:szCs w:val="24"/>
        </w:rPr>
        <w:t>, contrariando o que está previsto na alínea b do item 4.5.2 que trata da organização dos níveis de ensino, onde a Escola descreve que os anos iniciais será do 1º ao 5º ano.</w:t>
      </w:r>
    </w:p>
    <w:p w:rsidR="00B067CD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Da forma como está descrito no Regimento apresentado a Escola não deixa claro onde situa-se o 5º ano, sé é nos anos iniciais ou nos anos finais, tendo em vista que descreve a avaliação do 5º ano diferente do que propõem aos anos iniciais</w:t>
      </w:r>
    </w:p>
    <w:p w:rsidR="00B067CD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B067CD" w:rsidRPr="00992424" w:rsidRDefault="00B067CD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992424" w:rsidRPr="00992424" w:rsidRDefault="00992424" w:rsidP="00992424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Diante do exposto solicitamos a Escola inclua o 5º ano como anos iniciais e retifique os itens onde assim não esteja. Salientamos ainda que assim como do 1º ao 4º ano o 5º ano seja unidocente.</w:t>
      </w:r>
    </w:p>
    <w:p w:rsidR="00B067CD" w:rsidRPr="00992424" w:rsidRDefault="00B067CD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  <w:sz w:val="24"/>
          <w:szCs w:val="24"/>
        </w:rPr>
      </w:pPr>
    </w:p>
    <w:p w:rsidR="00B067CD" w:rsidRPr="00992424" w:rsidRDefault="00B067CD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ab/>
      </w:r>
    </w:p>
    <w:p w:rsidR="00B067CD" w:rsidRPr="00992424" w:rsidRDefault="00B067CD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lastRenderedPageBreak/>
        <w:t>II- CONCLUSÃO</w:t>
      </w:r>
    </w:p>
    <w:p w:rsidR="000C614F" w:rsidRPr="00992424" w:rsidRDefault="000C614F" w:rsidP="000C614F">
      <w:pPr>
        <w:tabs>
          <w:tab w:val="left" w:pos="893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Devolva-se à </w:t>
      </w:r>
      <w:r w:rsidR="002259FD" w:rsidRPr="00992424">
        <w:rPr>
          <w:rFonts w:ascii="Arial" w:hAnsi="Arial" w:cs="Arial"/>
          <w:sz w:val="24"/>
          <w:szCs w:val="24"/>
        </w:rPr>
        <w:t>Escola Municipal de Ensino Fundamental Pio XII</w:t>
      </w:r>
      <w:r w:rsidR="00797A8E" w:rsidRPr="00992424">
        <w:rPr>
          <w:rFonts w:ascii="Arial" w:hAnsi="Arial" w:cs="Arial"/>
          <w:sz w:val="24"/>
          <w:szCs w:val="24"/>
        </w:rPr>
        <w:t xml:space="preserve"> </w:t>
      </w:r>
      <w:r w:rsidRPr="00992424">
        <w:rPr>
          <w:rFonts w:ascii="Arial" w:hAnsi="Arial" w:cs="Arial"/>
          <w:sz w:val="24"/>
          <w:szCs w:val="24"/>
        </w:rPr>
        <w:t>a alteração Regimental para que</w:t>
      </w:r>
      <w:r w:rsidR="00D15B3E">
        <w:rPr>
          <w:rFonts w:ascii="Arial" w:hAnsi="Arial" w:cs="Arial"/>
          <w:sz w:val="24"/>
          <w:szCs w:val="24"/>
        </w:rPr>
        <w:t xml:space="preserve"> faça as alterações necessárias</w:t>
      </w:r>
      <w:r w:rsidRPr="00992424">
        <w:rPr>
          <w:rFonts w:ascii="Arial" w:hAnsi="Arial" w:cs="Arial"/>
          <w:sz w:val="24"/>
          <w:szCs w:val="24"/>
        </w:rPr>
        <w:t xml:space="preserve"> com base no exposto neste Parecer, devendo retornar a este Conselho com as modificações propostas</w:t>
      </w:r>
      <w:r w:rsidR="00D15B3E">
        <w:rPr>
          <w:rFonts w:ascii="Arial" w:hAnsi="Arial" w:cs="Arial"/>
          <w:sz w:val="24"/>
          <w:szCs w:val="24"/>
        </w:rPr>
        <w:t>, em duas vias devidamente encadernadas</w:t>
      </w:r>
      <w:r w:rsidR="005651EF" w:rsidRPr="00992424">
        <w:rPr>
          <w:rFonts w:ascii="Arial" w:hAnsi="Arial" w:cs="Arial"/>
          <w:sz w:val="24"/>
          <w:szCs w:val="24"/>
        </w:rPr>
        <w:t>, em específico na Modalidade EJA</w:t>
      </w:r>
      <w:r w:rsidRPr="00992424">
        <w:rPr>
          <w:rFonts w:ascii="Arial" w:hAnsi="Arial" w:cs="Arial"/>
          <w:sz w:val="24"/>
          <w:szCs w:val="24"/>
        </w:rPr>
        <w:t xml:space="preserve">. </w:t>
      </w:r>
    </w:p>
    <w:p w:rsidR="000C614F" w:rsidRPr="00992424" w:rsidRDefault="008C0707" w:rsidP="005651EF">
      <w:pPr>
        <w:tabs>
          <w:tab w:val="left" w:pos="8931"/>
        </w:tabs>
        <w:spacing w:before="120" w:after="800" w:line="360" w:lineRule="auto"/>
        <w:ind w:right="-1" w:firstLine="720"/>
        <w:jc w:val="right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Charqueadas, 14 de novembro de 2017</w:t>
      </w:r>
      <w:r w:rsidR="000C614F" w:rsidRPr="00992424">
        <w:rPr>
          <w:rFonts w:ascii="Arial" w:hAnsi="Arial" w:cs="Arial"/>
          <w:sz w:val="24"/>
          <w:szCs w:val="24"/>
        </w:rPr>
        <w:t>.</w:t>
      </w:r>
    </w:p>
    <w:p w:rsidR="008C0707" w:rsidRPr="00992424" w:rsidRDefault="008C0707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Fernando </w:t>
      </w:r>
      <w:r w:rsidR="005651EF" w:rsidRPr="00992424">
        <w:rPr>
          <w:rFonts w:ascii="Arial" w:hAnsi="Arial" w:cs="Arial"/>
          <w:sz w:val="24"/>
          <w:szCs w:val="24"/>
        </w:rPr>
        <w:t>Araújo</w:t>
      </w:r>
      <w:r w:rsidRPr="00992424">
        <w:rPr>
          <w:rFonts w:ascii="Arial" w:hAnsi="Arial" w:cs="Arial"/>
          <w:sz w:val="24"/>
          <w:szCs w:val="24"/>
        </w:rPr>
        <w:t xml:space="preserve"> Nunes</w:t>
      </w:r>
    </w:p>
    <w:p w:rsidR="005651EF" w:rsidRPr="00992424" w:rsidRDefault="000C614F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Conselheiro </w:t>
      </w:r>
      <w:r w:rsidR="005651EF" w:rsidRPr="00992424">
        <w:rPr>
          <w:rFonts w:ascii="Arial" w:hAnsi="Arial" w:cs="Arial"/>
          <w:sz w:val="24"/>
          <w:szCs w:val="24"/>
        </w:rPr>
        <w:t>Relator</w:t>
      </w:r>
    </w:p>
    <w:p w:rsidR="005651EF" w:rsidRPr="00992424" w:rsidRDefault="005651E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614F" w:rsidRPr="00992424" w:rsidRDefault="000C614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b/>
          <w:sz w:val="24"/>
          <w:szCs w:val="24"/>
        </w:rPr>
        <w:t>I</w:t>
      </w:r>
      <w:r w:rsidR="005651EF" w:rsidRPr="00992424">
        <w:rPr>
          <w:rFonts w:ascii="Arial" w:hAnsi="Arial" w:cs="Arial"/>
          <w:b/>
          <w:sz w:val="24"/>
          <w:szCs w:val="24"/>
        </w:rPr>
        <w:t>II</w:t>
      </w:r>
      <w:r w:rsidRPr="00992424">
        <w:rPr>
          <w:rFonts w:ascii="Arial" w:hAnsi="Arial" w:cs="Arial"/>
          <w:b/>
          <w:sz w:val="24"/>
          <w:szCs w:val="24"/>
        </w:rPr>
        <w:t>- DELIBERAÇÃO DO PLENÁRIO</w:t>
      </w:r>
    </w:p>
    <w:p w:rsidR="000C614F" w:rsidRPr="00992424" w:rsidRDefault="000C614F" w:rsidP="005651EF">
      <w:pPr>
        <w:tabs>
          <w:tab w:val="left" w:pos="1620"/>
          <w:tab w:val="left" w:pos="8460"/>
          <w:tab w:val="left" w:pos="9780"/>
          <w:tab w:val="left" w:pos="9900"/>
        </w:tabs>
        <w:spacing w:after="60"/>
        <w:ind w:right="141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O Conselho Municipal de Educação apro</w:t>
      </w:r>
      <w:r w:rsidR="005651EF" w:rsidRPr="00992424">
        <w:rPr>
          <w:rFonts w:ascii="Arial" w:hAnsi="Arial" w:cs="Arial"/>
          <w:sz w:val="24"/>
          <w:szCs w:val="24"/>
        </w:rPr>
        <w:t>va, por unanimidade, o presente P</w:t>
      </w:r>
      <w:r w:rsidRPr="00992424">
        <w:rPr>
          <w:rFonts w:ascii="Arial" w:hAnsi="Arial" w:cs="Arial"/>
          <w:sz w:val="24"/>
          <w:szCs w:val="24"/>
        </w:rPr>
        <w:t>arecer.</w:t>
      </w:r>
    </w:p>
    <w:p w:rsidR="005651EF" w:rsidRPr="00992424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 </w:t>
      </w:r>
    </w:p>
    <w:p w:rsidR="000C614F" w:rsidRPr="00992424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Em</w:t>
      </w:r>
      <w:r w:rsidR="000C614F" w:rsidRPr="00992424">
        <w:rPr>
          <w:rFonts w:ascii="Arial" w:hAnsi="Arial" w:cs="Arial"/>
          <w:sz w:val="24"/>
          <w:szCs w:val="24"/>
        </w:rPr>
        <w:t xml:space="preserve"> 22 de novembro de 20</w:t>
      </w:r>
      <w:r w:rsidRPr="00992424">
        <w:rPr>
          <w:rFonts w:ascii="Arial" w:hAnsi="Arial" w:cs="Arial"/>
          <w:sz w:val="24"/>
          <w:szCs w:val="24"/>
        </w:rPr>
        <w:t>1</w:t>
      </w:r>
      <w:r w:rsidR="000C614F" w:rsidRPr="00992424">
        <w:rPr>
          <w:rFonts w:ascii="Arial" w:hAnsi="Arial" w:cs="Arial"/>
          <w:sz w:val="24"/>
          <w:szCs w:val="24"/>
        </w:rPr>
        <w:t>7.</w:t>
      </w:r>
    </w:p>
    <w:p w:rsidR="000C614F" w:rsidRPr="00992424" w:rsidRDefault="000C614F" w:rsidP="000C614F">
      <w:pPr>
        <w:tabs>
          <w:tab w:val="left" w:pos="8460"/>
          <w:tab w:val="left" w:pos="9900"/>
        </w:tabs>
        <w:ind w:right="1745"/>
        <w:jc w:val="center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       </w:t>
      </w:r>
      <w:r w:rsidR="005651EF" w:rsidRPr="00992424">
        <w:rPr>
          <w:rFonts w:ascii="Arial" w:hAnsi="Arial" w:cs="Arial"/>
          <w:sz w:val="24"/>
          <w:szCs w:val="24"/>
        </w:rPr>
        <w:t xml:space="preserve">       </w:t>
      </w:r>
      <w:r w:rsidRPr="00992424">
        <w:rPr>
          <w:rFonts w:ascii="Arial" w:hAnsi="Arial" w:cs="Arial"/>
          <w:sz w:val="24"/>
          <w:szCs w:val="24"/>
        </w:rPr>
        <w:t>______________________________________</w:t>
      </w:r>
      <w:r w:rsidRPr="00992424">
        <w:rPr>
          <w:rFonts w:ascii="Arial" w:hAnsi="Arial" w:cs="Arial"/>
          <w:sz w:val="24"/>
          <w:szCs w:val="24"/>
        </w:rPr>
        <w:softHyphen/>
      </w:r>
    </w:p>
    <w:p w:rsidR="00EE2051" w:rsidRPr="00992424" w:rsidRDefault="000C614F" w:rsidP="005651EF">
      <w:pPr>
        <w:tabs>
          <w:tab w:val="left" w:pos="8460"/>
          <w:tab w:val="left" w:pos="9900"/>
        </w:tabs>
        <w:ind w:right="174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 xml:space="preserve">   </w:t>
      </w:r>
      <w:r w:rsidR="005651EF" w:rsidRPr="00992424">
        <w:rPr>
          <w:rFonts w:ascii="Arial" w:hAnsi="Arial" w:cs="Arial"/>
          <w:sz w:val="24"/>
          <w:szCs w:val="24"/>
        </w:rPr>
        <w:t xml:space="preserve">                   </w:t>
      </w:r>
      <w:r w:rsidRPr="00992424">
        <w:rPr>
          <w:rFonts w:ascii="Arial" w:hAnsi="Arial" w:cs="Arial"/>
          <w:sz w:val="24"/>
          <w:szCs w:val="24"/>
        </w:rPr>
        <w:t xml:space="preserve">   </w:t>
      </w:r>
      <w:r w:rsidR="00EE2051" w:rsidRPr="00992424">
        <w:rPr>
          <w:rFonts w:ascii="Arial" w:hAnsi="Arial" w:cs="Arial"/>
          <w:b/>
          <w:sz w:val="24"/>
          <w:szCs w:val="24"/>
        </w:rPr>
        <w:t>Rosane Lindner Brandão</w:t>
      </w:r>
    </w:p>
    <w:p w:rsidR="00EE2051" w:rsidRPr="00992424" w:rsidRDefault="00EE2051" w:rsidP="00EE2051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992424">
        <w:rPr>
          <w:rFonts w:ascii="Arial" w:hAnsi="Arial" w:cs="Arial"/>
          <w:sz w:val="24"/>
          <w:szCs w:val="24"/>
        </w:rPr>
        <w:t>Presidente</w:t>
      </w:r>
    </w:p>
    <w:sectPr w:rsidR="00EE2051" w:rsidRPr="00992424" w:rsidSect="00EE2051">
      <w:headerReference w:type="default" r:id="rId7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5F" w:rsidRDefault="000A7B5F" w:rsidP="0023501E">
      <w:pPr>
        <w:spacing w:after="0" w:line="240" w:lineRule="auto"/>
      </w:pPr>
      <w:r>
        <w:separator/>
      </w:r>
    </w:p>
  </w:endnote>
  <w:endnote w:type="continuationSeparator" w:id="0">
    <w:p w:rsidR="000A7B5F" w:rsidRDefault="000A7B5F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5F" w:rsidRDefault="000A7B5F" w:rsidP="0023501E">
      <w:pPr>
        <w:spacing w:after="0" w:line="240" w:lineRule="auto"/>
      </w:pPr>
      <w:r>
        <w:separator/>
      </w:r>
    </w:p>
  </w:footnote>
  <w:footnote w:type="continuationSeparator" w:id="0">
    <w:p w:rsidR="000A7B5F" w:rsidRDefault="000A7B5F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23501E">
    <w:pPr>
      <w:pStyle w:val="Cabealho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340B"/>
    <w:multiLevelType w:val="hybridMultilevel"/>
    <w:tmpl w:val="E0EA3270"/>
    <w:lvl w:ilvl="0" w:tplc="DBECAA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F21BE"/>
    <w:multiLevelType w:val="hybridMultilevel"/>
    <w:tmpl w:val="732A99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E3DD6"/>
    <w:multiLevelType w:val="hybridMultilevel"/>
    <w:tmpl w:val="F70C0B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BD58D7"/>
    <w:multiLevelType w:val="hybridMultilevel"/>
    <w:tmpl w:val="07F8F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80870"/>
    <w:multiLevelType w:val="hybridMultilevel"/>
    <w:tmpl w:val="D7CC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2306"/>
    <w:multiLevelType w:val="hybridMultilevel"/>
    <w:tmpl w:val="0C5C9F0A"/>
    <w:lvl w:ilvl="0" w:tplc="A59E35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A7B5F"/>
    <w:rsid w:val="000B6FAE"/>
    <w:rsid w:val="000C1B22"/>
    <w:rsid w:val="000C614F"/>
    <w:rsid w:val="000D5AE2"/>
    <w:rsid w:val="000F1999"/>
    <w:rsid w:val="00132A67"/>
    <w:rsid w:val="0014135A"/>
    <w:rsid w:val="002259FD"/>
    <w:rsid w:val="0023501E"/>
    <w:rsid w:val="00260B90"/>
    <w:rsid w:val="002D50AE"/>
    <w:rsid w:val="002E6F22"/>
    <w:rsid w:val="00356BE9"/>
    <w:rsid w:val="003D4111"/>
    <w:rsid w:val="003E001B"/>
    <w:rsid w:val="00410FCD"/>
    <w:rsid w:val="00422320"/>
    <w:rsid w:val="004975FE"/>
    <w:rsid w:val="004D7E3E"/>
    <w:rsid w:val="005651EF"/>
    <w:rsid w:val="005A16F4"/>
    <w:rsid w:val="005E751C"/>
    <w:rsid w:val="006460CE"/>
    <w:rsid w:val="006637C3"/>
    <w:rsid w:val="00772D91"/>
    <w:rsid w:val="007738C1"/>
    <w:rsid w:val="007767BF"/>
    <w:rsid w:val="007811C7"/>
    <w:rsid w:val="00797A8E"/>
    <w:rsid w:val="00851665"/>
    <w:rsid w:val="00870657"/>
    <w:rsid w:val="00875405"/>
    <w:rsid w:val="008C0707"/>
    <w:rsid w:val="008E6699"/>
    <w:rsid w:val="008E73A5"/>
    <w:rsid w:val="00905970"/>
    <w:rsid w:val="00923F89"/>
    <w:rsid w:val="009351CA"/>
    <w:rsid w:val="0097789C"/>
    <w:rsid w:val="00992424"/>
    <w:rsid w:val="009B5DB5"/>
    <w:rsid w:val="00A411ED"/>
    <w:rsid w:val="00A42109"/>
    <w:rsid w:val="00AB0F41"/>
    <w:rsid w:val="00B067CD"/>
    <w:rsid w:val="00B96275"/>
    <w:rsid w:val="00BB695B"/>
    <w:rsid w:val="00D15B3E"/>
    <w:rsid w:val="00D327F1"/>
    <w:rsid w:val="00D963E7"/>
    <w:rsid w:val="00DB2C0C"/>
    <w:rsid w:val="00E4796E"/>
    <w:rsid w:val="00E52932"/>
    <w:rsid w:val="00E926F9"/>
    <w:rsid w:val="00EE2051"/>
    <w:rsid w:val="00F42B40"/>
    <w:rsid w:val="00F54732"/>
    <w:rsid w:val="00F72621"/>
    <w:rsid w:val="00F7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EDD-1726-40AD-AF56-80FDC7E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2017-11-16T15:34:00Z</cp:lastPrinted>
  <dcterms:created xsi:type="dcterms:W3CDTF">2017-12-07T11:26:00Z</dcterms:created>
  <dcterms:modified xsi:type="dcterms:W3CDTF">2017-12-07T11:26:00Z</dcterms:modified>
</cp:coreProperties>
</file>